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before="840"/>
      </w:pPr>
      <w:r>
        <w:t>Flussdiagramm ERPMail</w:t>
      </w:r>
    </w:p>
    <w:p>
      <w:pPr>
        <w:pStyle w:val="Subtitle"/>
      </w:pPr>
      <w:r>
        <w:t>Programmablauf für INI-Verarbeitung, Textersetzung und Outlook-Entwurf</w:t>
      </w:r>
    </w:p>
    <w:tbl>
      <w:tblPr>
        <w:tblW w:type="dxa" w:w="13968"/>
        <w:tblLook w:firstColumn="1" w:firstRow="1" w:lastColumn="0" w:lastRow="0" w:noHBand="0" w:noVBand="1" w:val="04A0"/>
        <w:tblLayout w:type="fixed"/>
        <w:tblInd w:w="120" w:type="dxa"/>
      </w:tblPr>
      <w:tblGrid>
        <w:gridCol w:w="2100"/>
        <w:gridCol w:w="11868"/>
      </w:tblGrid>
      <w:tr>
        <w:trPr>
          <w:tblHeader w:val="true"/>
        </w:trPr>
        <w:tc>
          <w:tcPr>
            <w:tcW w:type="dxa" w:w="2100"/>
            <w:shd w:fill="17365D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FFFFFF"/>
                <w:sz w:val="22"/>
              </w:rPr>
              <w:t>Angabe</w:t>
            </w:r>
          </w:p>
        </w:tc>
        <w:tc>
          <w:tcPr>
            <w:tcW w:type="dxa" w:w="11868"/>
            <w:shd w:fill="17365D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FFFFFF"/>
                <w:sz w:val="22"/>
              </w:rPr>
              <w:t>Beschreibung</w:t>
            </w:r>
          </w:p>
        </w:tc>
      </w:tr>
      <w:tr>
        <w:tc>
          <w:tcPr>
            <w:tcW w:type="dxa" w:w="2100"/>
            <w:shd w:fill="D9EAF7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365D"/>
                <w:sz w:val="22"/>
              </w:rPr>
              <w:t>Quellstand</w:t>
            </w:r>
          </w:p>
        </w:tc>
        <w:tc>
          <w:tcPr>
            <w:tcW w:type="dxa" w:w="1186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color w:val="17202A"/>
                <w:sz w:val="22"/>
              </w:rPr>
              <w:t>ERPMail.zip, analysiert am 21. Juli 2026</w:t>
            </w:r>
          </w:p>
        </w:tc>
      </w:tr>
      <w:tr>
        <w:tc>
          <w:tcPr>
            <w:tcW w:type="dxa" w:w="2100"/>
            <w:shd w:fill="D9EAF7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365D"/>
                <w:sz w:val="22"/>
              </w:rPr>
              <w:t>Module</w:t>
            </w:r>
          </w:p>
        </w:tc>
        <w:tc>
          <w:tcPr>
            <w:tcW w:type="dxa" w:w="1186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color w:val="17202A"/>
                <w:sz w:val="22"/>
              </w:rPr>
              <w:t>Main.vb · GlobaleDefinitionen.vb · OutlookMailModul.vb</w:t>
            </w:r>
          </w:p>
        </w:tc>
      </w:tr>
      <w:tr>
        <w:tc>
          <w:tcPr>
            <w:tcW w:type="dxa" w:w="2100"/>
            <w:shd w:fill="D9EAF7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365D"/>
                <w:sz w:val="22"/>
              </w:rPr>
              <w:t>Zweck</w:t>
            </w:r>
          </w:p>
        </w:tc>
        <w:tc>
          <w:tcPr>
            <w:tcW w:type="dxa" w:w="1186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color w:val="17202A"/>
                <w:sz w:val="22"/>
              </w:rPr>
              <w:t>Erzeugt aus ERP-Daten einen Outlook-Mailentwurf zur manuellen Prüfung</w:t>
            </w:r>
          </w:p>
        </w:tc>
      </w:tr>
      <w:tr>
        <w:tc>
          <w:tcPr>
            <w:tcW w:type="dxa" w:w="2100"/>
            <w:shd w:fill="D9EAF7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17365D"/>
                <w:sz w:val="22"/>
              </w:rPr>
              <w:t>Versand</w:t>
            </w:r>
          </w:p>
        </w:tc>
        <w:tc>
          <w:tcPr>
            <w:tcW w:type="dxa" w:w="1186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color w:val="17202A"/>
                <w:sz w:val="22"/>
              </w:rPr>
              <w:t>Kein automatischer Versand; der Benutzer entscheidet in Outlook</w:t>
            </w:r>
          </w:p>
        </w:tc>
      </w:tr>
    </w:tbl>
    <w:p>
      <w:pPr>
        <w:pStyle w:val="Heading1"/>
      </w:pPr>
      <w:r>
        <w:t>Leseschlüssel</w:t>
      </w:r>
    </w:p>
    <w:p>
      <w:r>
        <w:rPr>
          <w:rFonts w:ascii="Arial" w:hAnsi="Arial"/>
          <w:b/>
          <w:color w:val="2E75B6"/>
          <w:sz w:val="22"/>
        </w:rPr>
        <w:t xml:space="preserve">Blaue Schritte </w:t>
      </w:r>
      <w:r>
        <w:t xml:space="preserve">verarbeiten Daten; </w:t>
      </w:r>
      <w:r>
        <w:rPr>
          <w:rFonts w:ascii="Arial" w:hAnsi="Arial"/>
          <w:b/>
          <w:color w:val="B7791F"/>
          <w:sz w:val="22"/>
        </w:rPr>
        <w:t xml:space="preserve">orange Schritte </w:t>
      </w:r>
      <w:r>
        <w:t xml:space="preserve">kennzeichnen Entscheidungen oder Wiederholungen; </w:t>
      </w:r>
      <w:r>
        <w:rPr>
          <w:rFonts w:ascii="Arial" w:hAnsi="Arial"/>
          <w:b/>
          <w:color w:val="2F855A"/>
          <w:sz w:val="22"/>
        </w:rPr>
        <w:t xml:space="preserve">grüne Schritte </w:t>
      </w:r>
      <w:r>
        <w:t>führen zum nutzbaren Ergebnis; rote Schritte bilden Fehlerpfade ab.</w:t>
      </w:r>
    </w:p>
    <w:p>
      <w:pPr>
        <w:spacing w:before="200"/>
      </w:pPr>
      <w:r>
        <w:rPr>
          <w:rFonts w:ascii="Arial" w:hAnsi="Arial"/>
          <w:b/>
          <w:color w:val="17365D"/>
          <w:sz w:val="22"/>
        </w:rPr>
        <w:t xml:space="preserve">Hinweis: </w:t>
      </w:r>
      <w:r>
        <w:t>Die Diagramme bilden den im ZIP enthaltenen Quellcode ab. Auskommentierte Beispiel- und Altcodebereiche wurden nicht als aktiver Ablauf dargestellt.</w:t>
      </w:r>
    </w:p>
    <w:p>
      <w:r>
        <w:br w:type="page"/>
      </w:r>
    </w:p>
    <w:p>
      <w:pPr>
        <w:spacing w:before="0" w:after="0"/>
        <w:jc w:val="center"/>
      </w:pPr>
      <w:r>
        <w:drawing>
          <wp:inline xmlns:a="http://schemas.openxmlformats.org/drawingml/2006/main" xmlns:pic="http://schemas.openxmlformats.org/drawingml/2006/picture">
            <wp:extent cx="8549640" cy="5224780"/>
            <wp:docPr id="1" name="Picture 1" descr="Gesamtablauf vom Start über die Konfiguration und INI-Verarbeitung bis zum Outlook-Entwurf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1_gesam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49640" cy="52247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DiagramCaption"/>
        <w:jc w:val="center"/>
      </w:pPr>
      <w:r>
        <w:t>Gesamtablauf vom Start über die Konfiguration und INI-Verarbeitung bis zum Outlook-Entwurf.</w:t>
      </w:r>
    </w:p>
    <w:p>
      <w:r>
        <w:br w:type="page"/>
      </w:r>
    </w:p>
    <w:p>
      <w:pPr>
        <w:spacing w:before="0" w:after="0"/>
        <w:jc w:val="center"/>
      </w:pPr>
      <w:r>
        <w:drawing>
          <wp:inline xmlns:a="http://schemas.openxmlformats.org/drawingml/2006/main" xmlns:pic="http://schemas.openxmlformats.org/drawingml/2006/picture">
            <wp:extent cx="8549640" cy="5224780"/>
            <wp:docPr id="2" name="Picture 2" descr="Detailfluss zum Lesen der Allgemein-, Body- und Label-Sektionen sowie zur Ersetzung der Platzhalter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2_ini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49640" cy="52247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DiagramCaption"/>
        <w:jc w:val="center"/>
      </w:pPr>
      <w:r>
        <w:t>Detailfluss zum Lesen der Allgemein-, Body- und Label-Sektionen sowie zur Ersetzung der Platzhalter.</w:t>
      </w:r>
    </w:p>
    <w:p>
      <w:r>
        <w:br w:type="page"/>
      </w:r>
    </w:p>
    <w:p>
      <w:pPr>
        <w:spacing w:before="0" w:after="0"/>
        <w:jc w:val="center"/>
      </w:pPr>
      <w:r>
        <w:drawing>
          <wp:inline xmlns:a="http://schemas.openxmlformats.org/drawingml/2006/main" xmlns:pic="http://schemas.openxmlformats.org/drawingml/2006/picture">
            <wp:extent cx="8549640" cy="5224780"/>
            <wp:docPr id="3" name="Picture 3" descr="Detailfluss mit Outlook-Start, Wiederholungslogik, Anhängen, Signatur und manueller Prüfung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_outlook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49640" cy="52247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DiagramCaption"/>
        <w:jc w:val="center"/>
      </w:pPr>
      <w:r>
        <w:t>Detailfluss mit Outlook-Start, Wiederholungslogik, Anhängen, Signatur und manueller Prüfung.</w:t>
      </w:r>
    </w:p>
    <w:sectPr w:rsidR="00FC693F" w:rsidRPr="0006063C" w:rsidSect="00034616">
      <w:headerReference w:type="default" r:id="rId9"/>
      <w:footerReference w:type="default" r:id="rId10"/>
      <w:pgSz w:w="15840" w:h="12240" w:orient="landscape"/>
      <w:pgMar w:top="936" w:right="936" w:bottom="864" w:left="936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color w:val="5B6573"/>
        <w:sz w:val="18"/>
      </w:rPr>
      <w:t xml:space="preserve">Seite </w:t>
    </w:r>
    <w:r>
      <w:rPr>
        <w:rFonts w:ascii="Arial" w:hAnsi="Arial"/>
        <w:color w:val="5B6573"/>
        <w:sz w:val="18"/>
      </w:rP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5B6573"/>
        <w:sz w:val="18"/>
      </w:rPr>
      <w:t>ERPMail · Programmdokumentation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2E75B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7365D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4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17365D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Arial" w:hAnsi="Arial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agramCaption">
    <w:name w:val="Diagram Caption"/>
    <w:pPr>
      <w:spacing w:before="60" w:after="0"/>
    </w:pPr>
    <w:rPr>
      <w:rFonts w:ascii="Arial" w:hAnsi="Arial"/>
      <w:i/>
      <w:color w:val="5B6573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Flussdiagramm ERPMail</dc:title>
  <dc:subject>Programmablauf und Outlook-Mailer</dc:subject>
  <dc:creator>Codex</dc:creator>
  <cp:keywords>ERPMail, VB.NET, Outlook, Flussdiagramm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